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sz w:val="44"/>
          <w:szCs w:val="44"/>
        </w:rPr>
      </w:pPr>
      <w:r>
        <w:rPr>
          <w:rFonts w:hint="eastAsia" w:ascii="黑体" w:hAnsi="黑体" w:eastAsia="黑体" w:cs="黑体"/>
          <w:sz w:val="44"/>
          <w:szCs w:val="44"/>
          <w:lang w:eastAsia="zh-CN"/>
        </w:rPr>
        <w:t>第十五讲</w:t>
      </w:r>
      <w:r>
        <w:rPr>
          <w:rFonts w:hint="eastAsia" w:ascii="黑体" w:hAnsi="黑体" w:eastAsia="黑体" w:cs="黑体"/>
          <w:sz w:val="44"/>
          <w:szCs w:val="44"/>
          <w:lang w:val="en-US" w:eastAsia="zh-CN"/>
        </w:rPr>
        <w:t xml:space="preserve">  </w:t>
      </w:r>
      <w:r>
        <w:rPr>
          <w:rFonts w:hint="eastAsia" w:ascii="黑体" w:hAnsi="黑体" w:eastAsia="黑体" w:cs="黑体"/>
          <w:sz w:val="44"/>
          <w:szCs w:val="44"/>
        </w:rPr>
        <w:t>钙性尿毒症性小动脉病</w:t>
      </w:r>
    </w:p>
    <w:p>
      <w:pPr>
        <w:spacing w:line="360" w:lineRule="auto"/>
        <w:jc w:val="center"/>
        <w:rPr>
          <w:rFonts w:hint="eastAsia" w:ascii="黑体" w:hAnsi="黑体" w:eastAsia="黑体" w:cs="黑体"/>
          <w:sz w:val="44"/>
          <w:szCs w:val="44"/>
        </w:rPr>
      </w:pPr>
      <w:r>
        <w:rPr>
          <w:rFonts w:hint="eastAsia" w:ascii="黑体" w:hAnsi="黑体" w:eastAsia="黑体" w:cs="黑体"/>
          <w:sz w:val="44"/>
          <w:szCs w:val="44"/>
          <w:lang w:val="en-US" w:eastAsia="zh-CN"/>
        </w:rPr>
        <w:t xml:space="preserve">         </w:t>
      </w:r>
      <w:r>
        <w:rPr>
          <w:rFonts w:hint="eastAsia" w:ascii="黑体" w:hAnsi="黑体" w:eastAsia="黑体" w:cs="黑体"/>
          <w:sz w:val="44"/>
          <w:szCs w:val="44"/>
        </w:rPr>
        <w:t>患者的护理</w:t>
      </w:r>
    </w:p>
    <w:p>
      <w:pPr>
        <w:spacing w:line="36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福建省立医院肾内科 曹芳 陈月玲 庄丽婷</w:t>
      </w:r>
    </w:p>
    <w:p>
      <w:pPr>
        <w:spacing w:line="360" w:lineRule="auto"/>
        <w:rPr>
          <w:rFonts w:hint="eastAsia" w:ascii="仿宋_GB2312" w:hAnsi="仿宋_GB2312" w:eastAsia="仿宋_GB2312" w:cs="仿宋_GB2312"/>
          <w:sz w:val="32"/>
          <w:szCs w:val="32"/>
        </w:rPr>
      </w:pPr>
    </w:p>
    <w:p>
      <w:pPr>
        <w:spacing w:line="360" w:lineRule="auto"/>
        <w:ind w:firstLine="48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钙化防御(calciphylaxis) 是一种严重的血管性疾病，主要特征为系统性小动脉钙化合并内皮破坏和血栓形成。钙性尿毒症性小动脉病( calcific uremic arteri  olopathy, CUA)，亦称钙化防御，是以系统性小动脉钙化和组织缺血为特征, 还可发生骨骼肌、脑、肺、肠、眼和肠系膜等的血管钙化，主要表现为皮肤溃疡、动脉血管钙化和周围组织缺血性坏死, 严重者出现坏疽。愈合不良且伴剧痛的皮损(网状青斑、网状紫癜、紫红色斑块、结节 ), 并常起泡和溃疡而叠加感染，溃疡性皮损常表现出黑色焦痂。</w:t>
      </w:r>
    </w:p>
    <w:p>
      <w:pPr>
        <w:spacing w:line="360" w:lineRule="auto"/>
        <w:ind w:firstLine="48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CUA发病率为 1%-4.1%，有增高趋势,男女比为 1:3。CUA易见于透析、肾移植和慢性肾衰竭患者, 在透析患者中发病率约为 4%，在肾功能正常的癌症、炎症性肠道疾病、原发甲旁亢、酒精性肝硬化、类风湿关节炎病人也有个例报道。这是一种非常罕见但致死率十分高的疾病，其1年内病死率为 45% ～80%，主要死因为脓毒血症。</w:t>
      </w:r>
    </w:p>
    <w:p>
      <w:pPr>
        <w:spacing w:line="360" w:lineRule="auto"/>
        <w:ind w:firstLine="48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钙化防御的诊断尚缺乏公认的诊断标准，梅奥诊所提出的钙化防御诊断标准(表1)应用最为广泛，其主要依据临床和皮肤活检两方面来进行诊断。</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inline distT="0" distB="0" distL="0" distR="0">
            <wp:extent cx="5260340" cy="2303145"/>
            <wp:effectExtent l="0" t="0" r="0" b="1905"/>
            <wp:docPr id="1" name="图片 1" descr="C:\Users\CF\Desktop\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CF\Desktop\图片1.png"/>
                    <pic:cNvPicPr>
                      <a:picLocks noChangeAspect="1" noChangeArrowheads="1"/>
                    </pic:cNvPicPr>
                  </pic:nvPicPr>
                  <pic:blipFill>
                    <a:blip r:embed="rId4">
                      <a:extLst>
                        <a:ext uri="{28A0092B-C50C-407E-A947-70E740481C1C}">
                          <a14:useLocalDpi xmlns:a14="http://schemas.microsoft.com/office/drawing/2010/main" val="0"/>
                        </a:ext>
                      </a:extLst>
                    </a:blip>
                    <a:srcRect l="7199" r="7239"/>
                    <a:stretch>
                      <a:fillRect/>
                    </a:stretch>
                  </pic:blipFill>
                  <pic:spPr>
                    <a:xfrm>
                      <a:off x="0" y="0"/>
                      <a:ext cx="5276225" cy="2310139"/>
                    </a:xfrm>
                    <a:prstGeom prst="rect">
                      <a:avLst/>
                    </a:prstGeom>
                    <a:noFill/>
                    <a:ln>
                      <a:noFill/>
                    </a:ln>
                  </pic:spPr>
                </pic:pic>
              </a:graphicData>
            </a:graphic>
          </wp:inline>
        </w:drawing>
      </w:r>
    </w:p>
    <w:p>
      <w:pPr>
        <w:spacing w:line="360" w:lineRule="auto"/>
        <w:ind w:firstLine="48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调查发现以下是钙性尿毒症性小动脉病的危险因素: 肾衰竭、糖尿病、肥胖、应用法华令或大剂量碳酸钙、低蛋白血症、使用免疫抑制剂和皮质激素等。该病病理机制不祥, 目前尚无理想治疗措施, 但一般认为钙性尿毒症性小动脉病是可预防的, 注意钙、磷、PTH 以及营养参数, 减少或阻止诱发因素可减少CUA发生, 对于高危人群, 如白人女性、肥胖和糖尿病患者,加强血清磷控制、注意降低体重并保持最佳的营养状态有一定的作用。一旦有 CUA 征象或临床拟诊, 应即刻停用一切可能的致敏剂或激发剂。</w:t>
      </w:r>
    </w:p>
    <w:p>
      <w:pPr>
        <w:spacing w:line="360" w:lineRule="auto"/>
        <w:ind w:firstLine="48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近年来最常见的治疗措施是使用硫代硫酸钠药物治疗。硫代硫酸钠（sodium thiosulfate，STS） STS是一种可抑制脂肪细胞钙化以及阻断脂肪细胞诱导血管平滑肌细胞钙化的一种药物，可促进血管舒张，减少缺血性疼痛。Peng等的一项系统评价结果显示，STS 对钙化防御治疗的有效率可达70.1%。透析患者常用的治疗方法为每周静脉注射3次，有效STS剂量为 5-25g，不良反应以低钙血症、高钠血症、代谢性酸中毒、QT间期延长、头痛、恶心、呕吐等较为常见。有个案报道将加入STS的透析液灌入腹膜透析并发钙化防御病人的腹腔会引发腹膜炎，所以应避免通过腹腔注射STS治疗钙化防御 。</w:t>
      </w:r>
    </w:p>
    <w:p>
      <w:pPr>
        <w:spacing w:line="360" w:lineRule="auto"/>
        <w:ind w:firstLine="48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由于该疾病预后较差，一年内存活率低，且疼痛明显，舒适度差，对患者做好相应的护理措施，可以减轻疾病给患者带来的痛苦。</w:t>
      </w:r>
    </w:p>
    <w:p>
      <w:pPr>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（一）心理护理</w:t>
      </w:r>
    </w:p>
    <w:p>
      <w:pPr>
        <w:spacing w:line="360" w:lineRule="auto"/>
        <w:ind w:firstLine="48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1、我们应主动建立良好的护患关系，关心患者，耐心、细心、体谅患者的疾苦，交流时注意语速宜慢，语调适中，帮助患者正确面对疾病，积极配合治疗。</w:t>
      </w:r>
    </w:p>
    <w:p>
      <w:pPr>
        <w:spacing w:line="360" w:lineRule="auto"/>
        <w:ind w:firstLine="48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2、动态观察患者的心理状态，如实的进行焦虑量表的填写及分析，有焦虑抑郁情绪应及时疏导，给予心理干预。</w:t>
      </w:r>
    </w:p>
    <w:p>
      <w:pPr>
        <w:spacing w:line="360" w:lineRule="auto"/>
        <w:ind w:firstLine="48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3、鼓励家属给予更多的关爱、支持，避免让患者独处，家属经常与患者交谈可转移注意力，指导患者的家属能正确的面对和处理患者的情绪和心理状况。</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rPr>
        <w:t>二）疼痛护理</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疼痛是钙化防御患者的主要特点，表现为静息痛，创面换药时更为疼痛，适当的缓解疼痛措施是十分必要的。</w:t>
      </w:r>
    </w:p>
    <w:p>
      <w:pPr>
        <w:spacing w:line="360" w:lineRule="auto"/>
        <w:ind w:firstLine="48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为减轻因换药带来的疼痛，在患者出现疼痛时，对患者进行疼痛评分，及时遵医嘱调整用药。换药前予1%利多卡因用10ml注射器均匀喷洒伤口底层敷料，使其全部浸润，2～3min后揭开底层敷料，患者在换药时的疼痛会明显减轻。碘伏消毒后，再次用生理盐水清洗，清除坏死组织，加涂纳米银控制感染，外贴凡士林油纱布，指导患者保持创面清洁，干燥。该类创面面积大，渗出多，隔天换药一次，敷料选择及换药时机应根据情况而定，及时作出调整。</w:t>
      </w:r>
    </w:p>
    <w:p>
      <w:pPr>
        <w:spacing w:line="360" w:lineRule="auto"/>
        <w:ind w:firstLine="48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对疼痛的处理采取主动预防用药。止痛剂应有规律按时给予，下一次用药应在前一次药物药效消失之前给予，得以持续镇痛。虽然文献有建议使用麻醉性镇痛药，但是吗啡等可能会导致有毒副产物的蓄积，进一步损害组织灌注，因而芬太尼透皮贴剂可能更适合基础疼痛的控制。研究表明，吗啡、可待因及氢可酮应避免用于透析患者，因其可导致神经毒性代谢物蓄积，美沙酮和芬太尼可安全使用。</w:t>
      </w:r>
    </w:p>
    <w:p>
      <w:pPr>
        <w:spacing w:line="360" w:lineRule="auto"/>
        <w:ind w:firstLine="48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3、有文献报道对于难治性疼痛病例，联合使用神经病理性止痛药物如抗癫痫药(加巴喷丁) 、镇静催眠药(苯二氮卓类) 或麻醉药(氯胺酮)等同样可达到镇痛目的。 </w:t>
      </w:r>
    </w:p>
    <w:p>
      <w:pPr>
        <w:spacing w:line="360" w:lineRule="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（三）皮肤护理</w:t>
      </w:r>
    </w:p>
    <w:p>
      <w:pPr>
        <w:spacing w:line="360" w:lineRule="auto"/>
        <w:ind w:firstLine="48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1、局部伤口的处理目标是控制渗出、预防感染、促进愈合。</w:t>
      </w:r>
    </w:p>
    <w:p>
      <w:pPr>
        <w:spacing w:line="360" w:lineRule="auto"/>
        <w:ind w:firstLine="48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2、未液化的皮肤损伤，需碘伏消毒换药，警惕感染；对于已经液化的皮肤损伤，处理、加强消毒，同时要进行局部干燥处理。</w:t>
      </w:r>
    </w:p>
    <w:p>
      <w:pPr>
        <w:spacing w:line="360" w:lineRule="auto"/>
        <w:ind w:firstLine="48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3、同时告知患者必须保持下肢皮肤溃疡处敷料清洁，降低感染的发生。</w:t>
      </w:r>
    </w:p>
    <w:p>
      <w:pPr>
        <w:spacing w:line="360" w:lineRule="auto"/>
        <w:ind w:firstLine="48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4、关注患者舒适度，做好基础护理，保持床单位平整、清洁、干燥。</w:t>
      </w:r>
    </w:p>
    <w:p>
      <w:pPr>
        <w:spacing w:line="360" w:lineRule="auto"/>
        <w:ind w:firstLine="48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5、手术清创具有争议，可能形成一个新的病灶，创口难以愈合。但出现明显感染趋势时需要手术清创，并预防性使用抗菌药物。其他皮肤溃疡治疗选择包括蛆清创术、化学清创术、负压伤口治疗和皮肤移植。</w:t>
      </w:r>
    </w:p>
    <w:p>
      <w:pPr>
        <w:spacing w:line="360" w:lineRule="auto"/>
        <w:ind w:firstLine="48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6、钙化防御患者皮肤氧张力显著降低，部分患者接受高压氧治疗后皮肤损伤改善明显。为避免氧毒性，文献推荐局部高压氧治疗，在条件不允许的情况下，可以考虑采用标准氧疗法：通过面罩给氧，10～15 L/次，持续2 h，1次/d。</w:t>
      </w:r>
    </w:p>
    <w:p>
      <w:pPr>
        <w:spacing w:line="360" w:lineRule="auto"/>
        <w:ind w:firstLine="48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7、指导患者或家属关注皮肤变化，及时进行干预，避免皮肤进一步的损害。</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四</w:t>
      </w:r>
      <w:r>
        <w:rPr>
          <w:rFonts w:hint="eastAsia" w:ascii="仿宋_GB2312" w:hAnsi="仿宋_GB2312" w:eastAsia="仿宋_GB2312" w:cs="仿宋_GB2312"/>
          <w:b/>
          <w:bCs/>
          <w:sz w:val="32"/>
          <w:szCs w:val="32"/>
        </w:rPr>
        <w:t>）营养支持</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sz w:val="32"/>
          <w:szCs w:val="32"/>
        </w:rPr>
        <w:t>终末期肾病患者蛋白质能量消耗发生率高达75%，钙化防御患者因皮肤损伤、创面溃疡以及剧烈疼痛等导致食欲不振而加重蛋白质能量消耗，若不积极干预，会引发并发症而危及生命。</w:t>
      </w:r>
    </w:p>
    <w:p>
      <w:pPr>
        <w:spacing w:line="360" w:lineRule="auto"/>
        <w:ind w:firstLine="48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必须给予患者足够的营养支持，遵医嘱予静脉营养，如脂肪乳、氨基酸等药物，饮食宜低钙低磷、低盐低脂、高蛋白（透析患者每日给予蛋白质1.2g/kg）、高维生素、高热量食物，如焯过水的瘦肉、鱼肉，鸡蛋等，满足机体需要，提高患者抗病能力。改善患者食欲：改进烹调方法,尽量使食物色香味俱全,清淡易消化。</w:t>
      </w:r>
    </w:p>
    <w:p>
      <w:pPr>
        <w:ind w:firstLine="480" w:firstLineChars="200"/>
        <w:jc w:val="left"/>
        <w:rPr>
          <w:rFonts w:hint="eastAsia" w:ascii="仿宋_GB2312" w:hAnsi="仿宋_GB2312" w:eastAsia="仿宋_GB2312" w:cs="仿宋_GB2312"/>
          <w:sz w:val="32"/>
          <w:szCs w:val="32"/>
        </w:rPr>
      </w:pPr>
    </w:p>
    <w:p>
      <w:pPr>
        <w:ind w:firstLine="480" w:firstLineChars="200"/>
        <w:jc w:val="left"/>
        <w:rPr>
          <w:rFonts w:hint="eastAsia" w:ascii="仿宋_GB2312" w:hAnsi="仿宋_GB2312" w:eastAsia="仿宋_GB2312" w:cs="仿宋_GB2312"/>
          <w:sz w:val="32"/>
          <w:szCs w:val="32"/>
          <w:lang w:eastAsia="zh-CN"/>
        </w:rPr>
      </w:pPr>
    </w:p>
    <w:p>
      <w:pPr>
        <w:tabs>
          <w:tab w:val="left" w:pos="2700"/>
        </w:tabs>
        <w:spacing w:line="360" w:lineRule="auto"/>
        <w:rPr>
          <w:rFonts w:hint="eastAsia" w:ascii="仿宋_GB2312" w:hAnsi="仿宋_GB2312" w:eastAsia="仿宋_GB2312" w:cs="仿宋_GB2312"/>
          <w:kern w:val="0"/>
          <w:sz w:val="32"/>
          <w:szCs w:val="32"/>
        </w:rPr>
      </w:pPr>
      <w:r>
        <w:rPr>
          <w:rFonts w:hint="eastAsia" w:ascii="仿宋_GB2312" w:hAnsi="仿宋_GB2312" w:eastAsia="仿宋_GB2312" w:cs="仿宋_GB2312"/>
          <w:b/>
          <w:bCs/>
          <w:sz w:val="32"/>
          <w:szCs w:val="32"/>
          <w:lang w:eastAsia="zh-CN"/>
        </w:rPr>
        <w:t>附测试</w:t>
      </w:r>
      <w:r>
        <w:rPr>
          <w:rFonts w:hint="eastAsia" w:ascii="仿宋_GB2312" w:hAnsi="仿宋_GB2312" w:eastAsia="仿宋_GB2312" w:cs="仿宋_GB2312"/>
          <w:b/>
          <w:bCs/>
          <w:sz w:val="32"/>
          <w:szCs w:val="32"/>
        </w:rPr>
        <w:t>题</w:t>
      </w:r>
    </w:p>
    <w:p>
      <w:pPr>
        <w:numPr>
          <w:ilvl w:val="0"/>
          <w:numId w:val="1"/>
        </w:num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钙化防御发病率为（ ）。</w:t>
      </w:r>
    </w:p>
    <w:p>
      <w:pPr>
        <w:spacing w:line="360" w:lineRule="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A  1-4%</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B</w:t>
      </w:r>
      <w:r>
        <w:rPr>
          <w:rFonts w:hint="eastAsia" w:ascii="仿宋_GB2312" w:hAnsi="仿宋_GB2312" w:eastAsia="仿宋_GB2312" w:cs="仿宋_GB2312"/>
          <w:kern w:val="0"/>
          <w:sz w:val="32"/>
          <w:szCs w:val="32"/>
        </w:rPr>
        <w:t xml:space="preserve"> 5-10%</w:t>
      </w:r>
      <w:r>
        <w:rPr>
          <w:rFonts w:hint="eastAsia" w:ascii="仿宋_GB2312" w:hAnsi="仿宋_GB2312" w:eastAsia="仿宋_GB2312" w:cs="仿宋_GB2312"/>
          <w:sz w:val="32"/>
          <w:szCs w:val="32"/>
        </w:rPr>
        <w:t xml:space="preserve">  C</w:t>
      </w:r>
      <w:r>
        <w:rPr>
          <w:rFonts w:hint="eastAsia" w:ascii="仿宋_GB2312" w:hAnsi="仿宋_GB2312" w:eastAsia="仿宋_GB2312" w:cs="仿宋_GB2312"/>
          <w:kern w:val="0"/>
          <w:sz w:val="32"/>
          <w:szCs w:val="32"/>
        </w:rPr>
        <w:t xml:space="preserve"> 10-20%</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 xml:space="preserve">  D </w:t>
      </w:r>
      <w:r>
        <w:rPr>
          <w:rFonts w:hint="eastAsia" w:ascii="仿宋_GB2312" w:hAnsi="仿宋_GB2312" w:eastAsia="仿宋_GB2312" w:cs="仿宋_GB2312"/>
          <w:kern w:val="0"/>
          <w:sz w:val="32"/>
          <w:szCs w:val="32"/>
        </w:rPr>
        <w:t>20-30%</w:t>
      </w:r>
    </w:p>
    <w:p>
      <w:pPr>
        <w:numPr>
          <w:ilvl w:val="0"/>
          <w:numId w:val="1"/>
        </w:num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钙化防御可发生（  ）的血管钙化</w:t>
      </w:r>
      <w:r>
        <w:rPr>
          <w:rFonts w:hint="eastAsia" w:ascii="仿宋_GB2312" w:hAnsi="仿宋_GB2312" w:eastAsia="仿宋_GB2312" w:cs="仿宋_GB2312"/>
          <w:kern w:val="0"/>
          <w:sz w:val="32"/>
          <w:szCs w:val="32"/>
        </w:rPr>
        <w:t>。</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骨骼肌  B 脑   C 肺   D 以上都是</w:t>
      </w:r>
    </w:p>
    <w:p>
      <w:pPr>
        <w:numPr>
          <w:ilvl w:val="0"/>
          <w:numId w:val="1"/>
        </w:num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钙化防御主要表现为 (  ) 。</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皮肤溃疡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B 动脉血管钙化   C 周围组织缺血性坏死   D 以上都是</w:t>
      </w:r>
    </w:p>
    <w:p>
      <w:pPr>
        <w:numPr>
          <w:ilvl w:val="0"/>
          <w:numId w:val="1"/>
        </w:num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钙化防御易见于（ ）患者。</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透析     B 肾移植   C 慢性肾衰竭     D 以上都是</w:t>
      </w:r>
    </w:p>
    <w:p>
      <w:pPr>
        <w:numPr>
          <w:ilvl w:val="0"/>
          <w:numId w:val="1"/>
        </w:num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钙化防御1年内病死率为（ ）。</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45 -80%   B 30-40%  C 30-40%   D 10-20%</w:t>
      </w:r>
    </w:p>
    <w:p>
      <w:pPr>
        <w:numPr>
          <w:ilvl w:val="0"/>
          <w:numId w:val="1"/>
        </w:num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钙化防御主要死因是（  ）。</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脓毒血症    B 心肌梗塞  C 高血钾   D 脑梗死</w:t>
      </w:r>
    </w:p>
    <w:p>
      <w:pPr>
        <w:numPr>
          <w:ilvl w:val="0"/>
          <w:numId w:val="1"/>
        </w:num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以下是钙性尿毒症性小动脉病的危险因素（ ）。</w:t>
      </w:r>
    </w:p>
    <w:p>
      <w:pPr>
        <w:tabs>
          <w:tab w:val="left" w:pos="3165"/>
        </w:tabs>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肾衰竭  B 糖尿病   C 肥胖   D 以上都是</w:t>
      </w:r>
    </w:p>
    <w:p>
      <w:pPr>
        <w:numPr>
          <w:ilvl w:val="0"/>
          <w:numId w:val="1"/>
        </w:num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钙性尿毒症性小动脉病高危人群（ ）。</w:t>
      </w:r>
    </w:p>
    <w:p>
      <w:pPr>
        <w:spacing w:line="360" w:lineRule="auto"/>
        <w:rPr>
          <w:rFonts w:hint="eastAsia" w:ascii="仿宋_GB2312" w:hAnsi="仿宋_GB2312" w:eastAsia="仿宋_GB2312" w:cs="仿宋_GB2312"/>
          <w:sz w:val="32"/>
          <w:szCs w:val="32"/>
          <w:lang w:val="pt-PT"/>
        </w:rPr>
      </w:pPr>
      <w:r>
        <w:rPr>
          <w:rFonts w:hint="eastAsia" w:ascii="仿宋_GB2312" w:hAnsi="仿宋_GB2312" w:eastAsia="仿宋_GB2312" w:cs="仿宋_GB2312"/>
          <w:sz w:val="32"/>
          <w:szCs w:val="32"/>
          <w:lang w:val="pt-PT"/>
        </w:rPr>
        <w:t xml:space="preserve">A </w:t>
      </w:r>
      <w:r>
        <w:rPr>
          <w:rFonts w:hint="eastAsia" w:ascii="仿宋_GB2312" w:hAnsi="仿宋_GB2312" w:eastAsia="仿宋_GB2312" w:cs="仿宋_GB2312"/>
          <w:sz w:val="32"/>
          <w:szCs w:val="32"/>
        </w:rPr>
        <w:t>白人女性</w:t>
      </w:r>
      <w:r>
        <w:rPr>
          <w:rFonts w:hint="eastAsia" w:ascii="仿宋_GB2312" w:hAnsi="仿宋_GB2312" w:eastAsia="仿宋_GB2312" w:cs="仿宋_GB2312"/>
          <w:sz w:val="32"/>
          <w:szCs w:val="32"/>
          <w:lang w:val="pt-PT"/>
        </w:rPr>
        <w:t xml:space="preserve">  B </w:t>
      </w:r>
      <w:r>
        <w:rPr>
          <w:rFonts w:hint="eastAsia" w:ascii="仿宋_GB2312" w:hAnsi="仿宋_GB2312" w:eastAsia="仿宋_GB2312" w:cs="仿宋_GB2312"/>
          <w:sz w:val="32"/>
          <w:szCs w:val="32"/>
        </w:rPr>
        <w:t>肥胖</w:t>
      </w:r>
      <w:r>
        <w:rPr>
          <w:rFonts w:hint="eastAsia" w:ascii="仿宋_GB2312" w:hAnsi="仿宋_GB2312" w:eastAsia="仿宋_GB2312" w:cs="仿宋_GB2312"/>
          <w:sz w:val="32"/>
          <w:szCs w:val="32"/>
          <w:lang w:val="pt-PT"/>
        </w:rPr>
        <w:t xml:space="preserve"> C  </w:t>
      </w:r>
      <w:r>
        <w:rPr>
          <w:rFonts w:hint="eastAsia" w:ascii="仿宋_GB2312" w:hAnsi="仿宋_GB2312" w:eastAsia="仿宋_GB2312" w:cs="仿宋_GB2312"/>
          <w:sz w:val="32"/>
          <w:szCs w:val="32"/>
        </w:rPr>
        <w:t>糖尿病</w:t>
      </w:r>
      <w:r>
        <w:rPr>
          <w:rFonts w:hint="eastAsia" w:ascii="仿宋_GB2312" w:hAnsi="仿宋_GB2312" w:eastAsia="仿宋_GB2312" w:cs="仿宋_GB2312"/>
          <w:sz w:val="32"/>
          <w:szCs w:val="32"/>
          <w:lang w:val="pt-PT"/>
        </w:rPr>
        <w:t xml:space="preserve">   D 以上都是</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 硫代硫酸钠可（ ）。</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抑制脂肪细胞钙化   B</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促进血管舒张  C 减少缺血性疼痛  D 以上都是</w:t>
      </w: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10．钙性尿毒症性小动脉病患者局部伤口的处理目标是（ ）。</w:t>
      </w:r>
    </w:p>
    <w:p>
      <w:pPr>
        <w:autoSpaceDE w:val="0"/>
        <w:autoSpaceDN w:val="0"/>
        <w:adjustRightInd w:val="0"/>
        <w:spacing w:line="360" w:lineRule="auto"/>
        <w:jc w:val="left"/>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控制渗出</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 xml:space="preserve"> B</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预防感染</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C 促进愈合</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 xml:space="preserve"> D 以上都是</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AdobeSongStd-Light">
    <w:altName w:val="黑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C09D3"/>
    <w:multiLevelType w:val="multilevel"/>
    <w:tmpl w:val="165C09D3"/>
    <w:lvl w:ilvl="0" w:tentative="0">
      <w:start w:val="1"/>
      <w:numFmt w:val="decimal"/>
      <w:lvlText w:val="%1."/>
      <w:lvlJc w:val="left"/>
      <w:pPr>
        <w:tabs>
          <w:tab w:val="left" w:pos="360"/>
        </w:tabs>
        <w:ind w:left="360" w:hanging="360"/>
      </w:pPr>
      <w:rPr>
        <w:color w:val="auto"/>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D03"/>
    <w:rsid w:val="000356A3"/>
    <w:rsid w:val="0005391C"/>
    <w:rsid w:val="00087B03"/>
    <w:rsid w:val="000A5B60"/>
    <w:rsid w:val="000C0B6E"/>
    <w:rsid w:val="000E259D"/>
    <w:rsid w:val="00126D01"/>
    <w:rsid w:val="00175289"/>
    <w:rsid w:val="001E6912"/>
    <w:rsid w:val="002210BB"/>
    <w:rsid w:val="0026722E"/>
    <w:rsid w:val="002B3B80"/>
    <w:rsid w:val="002C4E80"/>
    <w:rsid w:val="002F220E"/>
    <w:rsid w:val="0030326A"/>
    <w:rsid w:val="00315248"/>
    <w:rsid w:val="00327DD0"/>
    <w:rsid w:val="00334631"/>
    <w:rsid w:val="003429F2"/>
    <w:rsid w:val="00344EFE"/>
    <w:rsid w:val="00416124"/>
    <w:rsid w:val="00422210"/>
    <w:rsid w:val="004835E1"/>
    <w:rsid w:val="00483CEF"/>
    <w:rsid w:val="004928CD"/>
    <w:rsid w:val="004979EE"/>
    <w:rsid w:val="004D1938"/>
    <w:rsid w:val="004D7925"/>
    <w:rsid w:val="004E673F"/>
    <w:rsid w:val="005241DB"/>
    <w:rsid w:val="00531FE9"/>
    <w:rsid w:val="00576F8E"/>
    <w:rsid w:val="00582B9F"/>
    <w:rsid w:val="005A219D"/>
    <w:rsid w:val="005F709D"/>
    <w:rsid w:val="00607855"/>
    <w:rsid w:val="0067472C"/>
    <w:rsid w:val="006A3AE9"/>
    <w:rsid w:val="006A5E77"/>
    <w:rsid w:val="006B093D"/>
    <w:rsid w:val="00735A7F"/>
    <w:rsid w:val="007D40E1"/>
    <w:rsid w:val="007F09CE"/>
    <w:rsid w:val="00832105"/>
    <w:rsid w:val="008A5E61"/>
    <w:rsid w:val="008B2363"/>
    <w:rsid w:val="009317B4"/>
    <w:rsid w:val="009465CC"/>
    <w:rsid w:val="009806F3"/>
    <w:rsid w:val="00992A6F"/>
    <w:rsid w:val="00994CB9"/>
    <w:rsid w:val="009C4F96"/>
    <w:rsid w:val="00A43ABF"/>
    <w:rsid w:val="00A453A4"/>
    <w:rsid w:val="00AC7299"/>
    <w:rsid w:val="00BD002D"/>
    <w:rsid w:val="00C26634"/>
    <w:rsid w:val="00C359B3"/>
    <w:rsid w:val="00CE78AF"/>
    <w:rsid w:val="00CE793C"/>
    <w:rsid w:val="00D00B43"/>
    <w:rsid w:val="00DC27F8"/>
    <w:rsid w:val="00E33708"/>
    <w:rsid w:val="00E36304"/>
    <w:rsid w:val="00EE7FB1"/>
    <w:rsid w:val="00EF0D03"/>
    <w:rsid w:val="00EF12CE"/>
    <w:rsid w:val="00F25FB6"/>
    <w:rsid w:val="00F52050"/>
    <w:rsid w:val="0FD07489"/>
    <w:rsid w:val="408A1DB8"/>
    <w:rsid w:val="5F237E2D"/>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461</Words>
  <Characters>2632</Characters>
  <Lines>21</Lines>
  <Paragraphs>6</Paragraphs>
  <ScaleCrop>false</ScaleCrop>
  <LinksUpToDate>false</LinksUpToDate>
  <CharactersWithSpaces>3087</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2020-10-29T08:53:00Z</dcterms:created>
  <dc:creator>CF</dc:creator>
  <cp:lastModifiedBy>lenovo</cp:lastModifiedBy>
  <dcterms:modified xsi:type="dcterms:W3CDTF">2021-06-02T08:08:14Z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